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3.3.3.1 Retragerea prin casarea activelor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3.3.3.1 Retragerea prin casarea activelor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Centralizare propuneri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propuneri și elaborare Raport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CA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și aprobare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PV de scoatere din funcțiune în conformitate cu Decizia Comisiei de Analiză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Numerotare PV de scoatere din funcțiune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PV de scoatere din funcțiune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Distribuire către gestionarii din entitățile CONPET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Casare active și completare PV de scoatere din funcțiune cu rezultatul valorificării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Operare PV de scoatere din funcțiune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CFP pentru viză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Acordare viză PV de scoatere din functiune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 PV de scoatere din functiune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2799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27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7c33e3bc-5ac1-4ed1-9313-b207b2599501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65904747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Centralizare propuneri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9343162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propuneri și elaborare Raport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2123580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CA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0007579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și aprobare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95548619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PV de scoatere din funcțiune în conformitate cu Decizia Comisiei de Analiză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5816051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Numerotare PV de scoatere din funcțiune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5175970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PV de scoatere din funcțiune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3429652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Distribuire către gestionarii din entitățile CONPET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2585532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Casare active și completare PV de scoatere din funcțiune cu rezultatul valorificării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7525952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Operare PV de scoatere din funcțiune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4907627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CFP pentru viză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6131864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Acordare viză PV de scoatere din functiune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3742963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 PV de scoatere din functiune</w:t>
      </w:r>
      <w:bookmarkEnd w:id="18"/>
      <w:r>
        <w:t xml:space="preserve"> 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